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BF" w:rsidRDefault="003175BF" w:rsidP="003175BF">
      <w:pPr>
        <w:pStyle w:val="Default"/>
      </w:pPr>
    </w:p>
    <w:p w:rsidR="003175BF" w:rsidRDefault="003175BF" w:rsidP="003175BF">
      <w:pPr>
        <w:pStyle w:val="Default"/>
        <w:rPr>
          <w:b/>
          <w:bCs/>
          <w:sz w:val="40"/>
          <w:szCs w:val="40"/>
        </w:rPr>
      </w:pPr>
      <w:r>
        <w:t xml:space="preserve"> </w:t>
      </w:r>
      <w:r>
        <w:rPr>
          <w:b/>
          <w:bCs/>
          <w:sz w:val="40"/>
          <w:szCs w:val="40"/>
        </w:rPr>
        <w:t xml:space="preserve">Erklæring om tavshedspligt </w:t>
      </w:r>
    </w:p>
    <w:p w:rsidR="003175BF" w:rsidRDefault="003175BF" w:rsidP="003175BF">
      <w:pPr>
        <w:pStyle w:val="Default"/>
        <w:rPr>
          <w:sz w:val="40"/>
          <w:szCs w:val="40"/>
        </w:rPr>
      </w:pPr>
    </w:p>
    <w:p w:rsidR="003175BF" w:rsidRPr="003175BF" w:rsidRDefault="003175BF" w:rsidP="003175BF">
      <w:pPr>
        <w:pStyle w:val="Default"/>
        <w:rPr>
          <w:rFonts w:ascii="Calibri" w:hAnsi="Calibri" w:cs="Calibri"/>
          <w:sz w:val="22"/>
          <w:szCs w:val="22"/>
        </w:rPr>
      </w:pPr>
      <w:r w:rsidRPr="003175BF">
        <w:rPr>
          <w:rFonts w:ascii="Calibri" w:hAnsi="Calibri" w:cs="Calibri"/>
          <w:sz w:val="22"/>
          <w:szCs w:val="22"/>
        </w:rPr>
        <w:t>Som sygeplejerskestuderende er du underlagt tavshedspligt</w:t>
      </w:r>
      <w:r>
        <w:rPr>
          <w:rFonts w:ascii="Calibri" w:hAnsi="Calibri" w:cs="Calibri"/>
          <w:sz w:val="22"/>
          <w:szCs w:val="22"/>
        </w:rPr>
        <w:t xml:space="preserve"> </w:t>
      </w:r>
      <w:bookmarkStart w:id="0" w:name="_GoBack"/>
      <w:bookmarkEnd w:id="0"/>
      <w:r w:rsidRPr="003175BF">
        <w:rPr>
          <w:rFonts w:ascii="Calibri" w:hAnsi="Calibri" w:cs="Calibri"/>
          <w:sz w:val="22"/>
          <w:szCs w:val="22"/>
        </w:rPr>
        <w:t xml:space="preserve">jf. </w:t>
      </w:r>
      <w:proofErr w:type="spellStart"/>
      <w:r w:rsidRPr="003175BF">
        <w:rPr>
          <w:rFonts w:ascii="Calibri" w:hAnsi="Calibri" w:cs="Calibri"/>
          <w:sz w:val="22"/>
          <w:szCs w:val="22"/>
        </w:rPr>
        <w:t>Kriminallov</w:t>
      </w:r>
      <w:proofErr w:type="spellEnd"/>
      <w:r w:rsidRPr="003175BF">
        <w:rPr>
          <w:rFonts w:ascii="Calibri" w:hAnsi="Calibri" w:cs="Calibri"/>
          <w:sz w:val="22"/>
          <w:szCs w:val="22"/>
        </w:rPr>
        <w:t xml:space="preserve"> kapitel 11 </w:t>
      </w:r>
    </w:p>
    <w:p w:rsidR="003175BF" w:rsidRPr="003175BF" w:rsidRDefault="003175BF" w:rsidP="003175BF">
      <w:pPr>
        <w:pStyle w:val="Listeafsnit"/>
        <w:rPr>
          <w:sz w:val="22"/>
          <w:szCs w:val="22"/>
        </w:rPr>
      </w:pPr>
    </w:p>
    <w:p w:rsidR="003175BF" w:rsidRPr="003175BF" w:rsidRDefault="003175BF" w:rsidP="003175BF">
      <w:pPr>
        <w:pStyle w:val="Listeafsnit"/>
        <w:numPr>
          <w:ilvl w:val="0"/>
          <w:numId w:val="1"/>
        </w:numPr>
        <w:rPr>
          <w:sz w:val="22"/>
          <w:szCs w:val="22"/>
        </w:rPr>
      </w:pPr>
      <w:r w:rsidRPr="003175BF">
        <w:rPr>
          <w:rFonts w:asciiTheme="minorHAnsi" w:eastAsiaTheme="minorEastAsia" w:hAnsi="Arial" w:cstheme="minorBidi"/>
          <w:b/>
          <w:bCs/>
          <w:i/>
          <w:iCs/>
          <w:color w:val="000000" w:themeColor="text1"/>
          <w:kern w:val="24"/>
          <w:sz w:val="22"/>
          <w:szCs w:val="22"/>
        </w:rPr>
        <w:t>Forbrydelser i offentlig tjeneste eller hverv</w:t>
      </w:r>
    </w:p>
    <w:p w:rsidR="004E3675" w:rsidRPr="004E3675" w:rsidRDefault="004E3675" w:rsidP="004E3675">
      <w:pPr>
        <w:pStyle w:val="Sidefod"/>
      </w:pPr>
      <w:r w:rsidRPr="004E3675">
        <w:rPr>
          <w:b/>
          <w:bCs/>
        </w:rPr>
        <w:t xml:space="preserve">§ 50. </w:t>
      </w:r>
      <w:r w:rsidRPr="004E3675">
        <w:t>For brud på en tjenstlig tavshedspligt dømmes den, som virker eller har virket i offentlig tjeneste eller hverv, og som uberettiget videregiver eller udnytter fortrolige oplysninger, hvortil den pågældende i den forbindelse har fået kendskab.</w:t>
      </w:r>
    </w:p>
    <w:p w:rsidR="004E3675" w:rsidRPr="004E3675" w:rsidRDefault="004E3675" w:rsidP="004E3675">
      <w:pPr>
        <w:pStyle w:val="Sidefod"/>
      </w:pPr>
      <w:r w:rsidRPr="004E3675">
        <w:rPr>
          <w:i/>
          <w:iCs/>
        </w:rPr>
        <w:t xml:space="preserve">Stk. 2. </w:t>
      </w:r>
      <w:r w:rsidRPr="004E3675">
        <w:t>Ligeledes dømmes den, som udøver eller har udøvet en virksomhed eller et erhverv i medfør af offentlig beskikkelse eller anerkendelse, og som uberettiget videregiver eller udnytter oplysninger, som er fortrolige af hensyn til private interesser, og hvortil den pågældende i den forbindelse har fået</w:t>
      </w:r>
    </w:p>
    <w:p w:rsidR="004E3675" w:rsidRPr="004E3675" w:rsidRDefault="004E3675" w:rsidP="004E3675">
      <w:pPr>
        <w:pStyle w:val="Sidefod"/>
      </w:pPr>
      <w:r w:rsidRPr="004E3675">
        <w:t>kendskab.</w:t>
      </w:r>
    </w:p>
    <w:p w:rsidR="003175BF" w:rsidRDefault="003175BF" w:rsidP="003175BF">
      <w:pPr>
        <w:pStyle w:val="Default"/>
        <w:rPr>
          <w:rFonts w:ascii="Calibri" w:hAnsi="Calibri" w:cs="Calibri"/>
          <w:sz w:val="23"/>
          <w:szCs w:val="23"/>
        </w:rPr>
      </w:pPr>
    </w:p>
    <w:p w:rsidR="003175BF" w:rsidRPr="003175BF" w:rsidRDefault="003175BF" w:rsidP="003175BF">
      <w:pPr>
        <w:pStyle w:val="Default"/>
        <w:rPr>
          <w:rFonts w:ascii="Calibri" w:hAnsi="Calibri" w:cs="Calibri"/>
          <w:sz w:val="22"/>
          <w:szCs w:val="22"/>
        </w:rPr>
      </w:pPr>
      <w:r w:rsidRPr="003175BF">
        <w:rPr>
          <w:rFonts w:ascii="Calibri" w:hAnsi="Calibri" w:cs="Calibri"/>
          <w:sz w:val="22"/>
          <w:szCs w:val="22"/>
        </w:rPr>
        <w:t xml:space="preserve">Jeg erklærer hermed, </w:t>
      </w:r>
    </w:p>
    <w:p w:rsidR="003175BF" w:rsidRDefault="003175BF" w:rsidP="003175BF">
      <w:pPr>
        <w:pStyle w:val="Default"/>
        <w:rPr>
          <w:rFonts w:ascii="Calibri" w:hAnsi="Calibri" w:cs="Calibri"/>
          <w:sz w:val="22"/>
          <w:szCs w:val="22"/>
        </w:rPr>
      </w:pPr>
      <w:r w:rsidRPr="003175BF">
        <w:rPr>
          <w:rFonts w:ascii="Calibri" w:hAnsi="Calibri" w:cs="Calibri"/>
          <w:sz w:val="22"/>
          <w:szCs w:val="22"/>
        </w:rPr>
        <w:t xml:space="preserve">- at være underlagt tavshedspligten efter </w:t>
      </w:r>
      <w:r>
        <w:rPr>
          <w:rFonts w:ascii="Calibri" w:hAnsi="Calibri" w:cs="Calibri"/>
          <w:sz w:val="22"/>
          <w:szCs w:val="22"/>
        </w:rPr>
        <w:t>Kriminallovens</w:t>
      </w:r>
      <w:proofErr w:type="gramStart"/>
      <w:r>
        <w:rPr>
          <w:rFonts w:ascii="Calibri" w:hAnsi="Calibri" w:cs="Calibri"/>
          <w:sz w:val="22"/>
          <w:szCs w:val="22"/>
        </w:rPr>
        <w:t xml:space="preserve"> </w:t>
      </w:r>
      <w:r w:rsidRPr="003175BF">
        <w:rPr>
          <w:rFonts w:ascii="Calibri" w:hAnsi="Calibri" w:cs="Calibri"/>
          <w:sz w:val="22"/>
          <w:szCs w:val="22"/>
        </w:rPr>
        <w:t>§</w:t>
      </w:r>
      <w:r>
        <w:rPr>
          <w:rFonts w:ascii="Calibri" w:hAnsi="Calibri" w:cs="Calibri"/>
          <w:sz w:val="22"/>
          <w:szCs w:val="22"/>
        </w:rPr>
        <w:t>50</w:t>
      </w:r>
      <w:proofErr w:type="gramEnd"/>
      <w:r w:rsidRPr="003175BF">
        <w:rPr>
          <w:rFonts w:ascii="Calibri" w:hAnsi="Calibri" w:cs="Calibri"/>
          <w:sz w:val="22"/>
          <w:szCs w:val="22"/>
        </w:rPr>
        <w:t xml:space="preserve"> - at tavshedspligten stadig gælder efter afsluttet uddannelse - at være bekendt med </w:t>
      </w:r>
      <w:r>
        <w:rPr>
          <w:rFonts w:ascii="Calibri" w:hAnsi="Calibri" w:cs="Calibri"/>
          <w:sz w:val="22"/>
          <w:szCs w:val="22"/>
        </w:rPr>
        <w:t xml:space="preserve">Kriminallovens </w:t>
      </w:r>
      <w:r w:rsidRPr="003175BF">
        <w:rPr>
          <w:rFonts w:ascii="Calibri" w:hAnsi="Calibri" w:cs="Calibri"/>
          <w:sz w:val="22"/>
          <w:szCs w:val="22"/>
        </w:rPr>
        <w:t>§</w:t>
      </w:r>
      <w:r>
        <w:rPr>
          <w:rFonts w:ascii="Calibri" w:hAnsi="Calibri" w:cs="Calibri"/>
          <w:sz w:val="22"/>
          <w:szCs w:val="22"/>
        </w:rPr>
        <w:t xml:space="preserve"> 50</w:t>
      </w:r>
    </w:p>
    <w:p w:rsidR="003175BF" w:rsidRPr="003175BF" w:rsidRDefault="003175BF" w:rsidP="003175BF">
      <w:pPr>
        <w:pStyle w:val="Default"/>
        <w:rPr>
          <w:rFonts w:ascii="Calibri" w:hAnsi="Calibri" w:cs="Calibri"/>
          <w:sz w:val="22"/>
          <w:szCs w:val="22"/>
        </w:rPr>
      </w:pPr>
      <w:r w:rsidRPr="003175BF">
        <w:rPr>
          <w:rFonts w:ascii="Calibri" w:hAnsi="Calibri" w:cs="Calibri"/>
          <w:sz w:val="22"/>
          <w:szCs w:val="22"/>
        </w:rPr>
        <w:t xml:space="preserve"> </w:t>
      </w:r>
    </w:p>
    <w:p w:rsidR="003175BF" w:rsidRPr="003175BF" w:rsidRDefault="003175BF" w:rsidP="003175BF">
      <w:pPr>
        <w:pStyle w:val="Default"/>
        <w:rPr>
          <w:rFonts w:ascii="Calibri" w:hAnsi="Calibri" w:cs="Calibri"/>
          <w:sz w:val="22"/>
          <w:szCs w:val="22"/>
        </w:rPr>
      </w:pPr>
      <w:r w:rsidRPr="003175BF">
        <w:rPr>
          <w:rFonts w:ascii="Calibri" w:hAnsi="Calibri" w:cs="Calibri"/>
          <w:sz w:val="22"/>
          <w:szCs w:val="22"/>
        </w:rPr>
        <w:t xml:space="preserve">Navn med blokbogstaver: </w:t>
      </w:r>
      <w:r w:rsidRPr="003175BF">
        <w:rPr>
          <w:rFonts w:ascii="Calibri" w:hAnsi="Calibri" w:cs="Calibri"/>
          <w:b/>
          <w:bCs/>
          <w:sz w:val="22"/>
          <w:szCs w:val="22"/>
        </w:rPr>
        <w:t xml:space="preserve">___________________________________________ </w:t>
      </w:r>
    </w:p>
    <w:p w:rsidR="00624166" w:rsidRPr="003175BF" w:rsidRDefault="003175BF" w:rsidP="003175BF">
      <w:pPr>
        <w:pStyle w:val="Overskrift1"/>
        <w:rPr>
          <w:sz w:val="22"/>
          <w:szCs w:val="22"/>
        </w:rPr>
      </w:pPr>
      <w:r w:rsidRPr="003175BF">
        <w:rPr>
          <w:rFonts w:ascii="Calibri" w:hAnsi="Calibri" w:cs="Calibri"/>
          <w:sz w:val="22"/>
          <w:szCs w:val="22"/>
        </w:rPr>
        <w:t xml:space="preserve">Underskrift og dato: </w:t>
      </w:r>
      <w:r w:rsidRPr="003175BF">
        <w:rPr>
          <w:rFonts w:ascii="Calibri" w:hAnsi="Calibri" w:cs="Calibri"/>
          <w:b w:val="0"/>
          <w:bCs w:val="0"/>
          <w:sz w:val="22"/>
          <w:szCs w:val="22"/>
        </w:rPr>
        <w:t>_______________________________________________</w:t>
      </w:r>
    </w:p>
    <w:p w:rsidR="003175BF" w:rsidRPr="003175BF" w:rsidRDefault="003175BF" w:rsidP="003175BF"/>
    <w:sectPr w:rsidR="003175BF" w:rsidRPr="003175B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75" w:rsidRDefault="004E3675" w:rsidP="004E3675">
      <w:pPr>
        <w:spacing w:after="0" w:line="240" w:lineRule="auto"/>
      </w:pPr>
      <w:r>
        <w:separator/>
      </w:r>
    </w:p>
  </w:endnote>
  <w:endnote w:type="continuationSeparator" w:id="0">
    <w:p w:rsidR="004E3675" w:rsidRDefault="004E3675" w:rsidP="004E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75" w:rsidRPr="004E3675" w:rsidRDefault="004E3675" w:rsidP="004E3675">
    <w:pPr>
      <w:pStyle w:val="Sidefod"/>
      <w:rPr>
        <w:sz w:val="16"/>
        <w:szCs w:val="16"/>
      </w:rPr>
    </w:pPr>
    <w:r w:rsidRPr="004E3675">
      <w:rPr>
        <w:b/>
        <w:bCs/>
        <w:sz w:val="16"/>
        <w:szCs w:val="16"/>
      </w:rPr>
      <w:t xml:space="preserve">§ 50. </w:t>
    </w:r>
    <w:r w:rsidRPr="004E3675">
      <w:rPr>
        <w:sz w:val="16"/>
        <w:szCs w:val="16"/>
      </w:rPr>
      <w:t>For brud på en tjenstlig tavshedspligt dømmes den, som virker eller har virket i offentlig tjeneste eller hverv, og som uberettiget videregiver eller udnytter fortrolige oplysninger, hvortil den pågældende i den forbindelse har fået kendskab.</w:t>
    </w:r>
  </w:p>
  <w:p w:rsidR="004E3675" w:rsidRPr="004E3675" w:rsidRDefault="004E3675" w:rsidP="004E3675">
    <w:pPr>
      <w:pStyle w:val="Sidefod"/>
      <w:rPr>
        <w:sz w:val="16"/>
        <w:szCs w:val="16"/>
      </w:rPr>
    </w:pPr>
    <w:r w:rsidRPr="004E3675">
      <w:rPr>
        <w:i/>
        <w:iCs/>
        <w:sz w:val="16"/>
        <w:szCs w:val="16"/>
      </w:rPr>
      <w:t xml:space="preserve">Stk. 2. </w:t>
    </w:r>
    <w:r w:rsidRPr="004E3675">
      <w:rPr>
        <w:sz w:val="16"/>
        <w:szCs w:val="16"/>
      </w:rPr>
      <w:t>Ligeledes dømmes den, som udøver eller har udøvet en virksomhed eller et erhverv i medfør af offentlig beskikkelse eller anerkendelse, og som uberettiget videregiver eller udnytter oplysninger, som er fortrolige af hensyn til private interesser, og hvortil den pågældende i den forbindelse har fået</w:t>
    </w:r>
  </w:p>
  <w:p w:rsidR="004E3675" w:rsidRPr="004E3675" w:rsidRDefault="004E3675" w:rsidP="004E3675">
    <w:pPr>
      <w:pStyle w:val="Sidefod"/>
      <w:rPr>
        <w:sz w:val="16"/>
        <w:szCs w:val="16"/>
      </w:rPr>
    </w:pPr>
    <w:r w:rsidRPr="004E3675">
      <w:rPr>
        <w:sz w:val="16"/>
        <w:szCs w:val="16"/>
      </w:rPr>
      <w:t>kendskab.</w:t>
    </w:r>
  </w:p>
  <w:p w:rsidR="004E3675" w:rsidRPr="004E3675" w:rsidRDefault="004E3675" w:rsidP="004E3675">
    <w:pPr>
      <w:pStyle w:val="Sidefod"/>
      <w:rPr>
        <w:sz w:val="16"/>
        <w:szCs w:val="16"/>
      </w:rPr>
    </w:pPr>
    <w:r w:rsidRPr="004E3675">
      <w:rPr>
        <w:i/>
        <w:iCs/>
        <w:sz w:val="16"/>
        <w:szCs w:val="16"/>
      </w:rPr>
      <w:t xml:space="preserve">Stk. 3. </w:t>
    </w:r>
    <w:r w:rsidRPr="004E3675">
      <w:rPr>
        <w:sz w:val="16"/>
        <w:szCs w:val="16"/>
      </w:rPr>
      <w:t>En oplysning er fortrolig, når den ved lov eller anden gyldig bestemmelse er betegnet som sådan, eller når det i øvrigt er nødvendigt at hemmeligholde den for at varetage væsentlige hensyn til offentlige eller private interesser.</w:t>
    </w:r>
  </w:p>
  <w:p w:rsidR="004E3675" w:rsidRPr="004E3675" w:rsidRDefault="004E3675" w:rsidP="004E3675">
    <w:pPr>
      <w:pStyle w:val="Sidefod"/>
      <w:rPr>
        <w:sz w:val="16"/>
        <w:szCs w:val="16"/>
      </w:rPr>
    </w:pPr>
    <w:r w:rsidRPr="004E3675">
      <w:rPr>
        <w:b/>
        <w:bCs/>
        <w:sz w:val="16"/>
        <w:szCs w:val="16"/>
      </w:rPr>
      <w:t xml:space="preserve">§ 51. </w:t>
    </w:r>
    <w:r w:rsidRPr="004E3675">
      <w:rPr>
        <w:sz w:val="16"/>
        <w:szCs w:val="16"/>
      </w:rPr>
      <w:t>Bestemmelsen i § 50 finder tilsvarende anvendelse på den, som i øvrigt er eller har været beskæftiget med opgaver, der udføres efter aftale med en offentlig myndighed. Det samme gælder den, som virker eller har virket ved udbydere af telenet eller teletjenester, der er anerkendt af det offentlige.</w:t>
    </w:r>
  </w:p>
  <w:p w:rsidR="004E3675" w:rsidRPr="004E3675" w:rsidRDefault="004E3675" w:rsidP="004E3675">
    <w:pPr>
      <w:pStyle w:val="Sidefod"/>
      <w:rPr>
        <w:sz w:val="16"/>
        <w:szCs w:val="16"/>
      </w:rPr>
    </w:pPr>
    <w:r w:rsidRPr="004E3675">
      <w:rPr>
        <w:b/>
        <w:bCs/>
        <w:sz w:val="16"/>
        <w:szCs w:val="16"/>
      </w:rPr>
      <w:t xml:space="preserve">§ 52. </w:t>
    </w:r>
    <w:r w:rsidRPr="004E3675">
      <w:rPr>
        <w:sz w:val="16"/>
        <w:szCs w:val="16"/>
      </w:rPr>
      <w:t>Bestemmelserne i §§ 50 og 51 gælder også for de pågældende personers medhjælpere.</w:t>
    </w:r>
  </w:p>
  <w:p w:rsidR="004E3675" w:rsidRPr="004E3675" w:rsidRDefault="004E3675" w:rsidP="004E3675">
    <w:pPr>
      <w:pStyle w:val="Sidefod"/>
      <w:rPr>
        <w:sz w:val="16"/>
        <w:szCs w:val="16"/>
      </w:rPr>
    </w:pPr>
    <w:r w:rsidRPr="004E3675">
      <w:rPr>
        <w:b/>
        <w:bCs/>
        <w:sz w:val="16"/>
        <w:szCs w:val="16"/>
      </w:rPr>
      <w:t xml:space="preserve">§ 53. </w:t>
    </w:r>
    <w:r w:rsidRPr="004E3675">
      <w:rPr>
        <w:sz w:val="16"/>
        <w:szCs w:val="16"/>
      </w:rPr>
      <w:t>Bestemmelserne i §§ 50-52 finder tilsvarende anvendelse på den, som uden at have medvirket til gerningen</w:t>
    </w:r>
  </w:p>
  <w:p w:rsidR="004E3675" w:rsidRPr="004E3675" w:rsidRDefault="004E3675" w:rsidP="004E3675">
    <w:pPr>
      <w:pStyle w:val="Sidefod"/>
      <w:rPr>
        <w:sz w:val="16"/>
        <w:szCs w:val="16"/>
      </w:rPr>
    </w:pPr>
    <w:r w:rsidRPr="004E3675">
      <w:rPr>
        <w:sz w:val="16"/>
        <w:szCs w:val="16"/>
      </w:rPr>
      <w:t>1) uberettiget skaffer sig eller udnytter oplysninger, der er fremkommet ved en sådan overtrædelse,</w:t>
    </w:r>
  </w:p>
  <w:p w:rsidR="004E3675" w:rsidRPr="004E3675" w:rsidRDefault="004E3675" w:rsidP="004E3675">
    <w:pPr>
      <w:pStyle w:val="Sidefod"/>
      <w:rPr>
        <w:sz w:val="16"/>
        <w:szCs w:val="16"/>
      </w:rPr>
    </w:pPr>
    <w:r w:rsidRPr="004E3675">
      <w:rPr>
        <w:sz w:val="16"/>
        <w:szCs w:val="16"/>
      </w:rPr>
      <w:t>2) uberettiget videregiver oplysninger om enkeltpersoners rent private forhold, som er fremkommet ved overtrædelse af §§ 50-52, eller</w:t>
    </w:r>
  </w:p>
  <w:p w:rsidR="004E3675" w:rsidRPr="004E3675" w:rsidRDefault="004E3675" w:rsidP="004E3675">
    <w:pPr>
      <w:pStyle w:val="Sidefod"/>
      <w:rPr>
        <w:sz w:val="16"/>
        <w:szCs w:val="16"/>
      </w:rPr>
    </w:pPr>
    <w:r w:rsidRPr="004E3675">
      <w:rPr>
        <w:sz w:val="16"/>
        <w:szCs w:val="16"/>
      </w:rPr>
      <w:t>3) uberettiget videregiver oplysninger, der er fortrolige af hensyn til statens sikkerhed eller rigets forsvar.</w:t>
    </w:r>
  </w:p>
  <w:p w:rsidR="004E3675" w:rsidRPr="004E3675" w:rsidRDefault="004E3675" w:rsidP="004E3675">
    <w:pPr>
      <w:pStyle w:val="Sidefod"/>
      <w:rPr>
        <w:sz w:val="16"/>
        <w:szCs w:val="16"/>
      </w:rPr>
    </w:pPr>
    <w:r w:rsidRPr="004E3675">
      <w:rPr>
        <w:b/>
        <w:bCs/>
        <w:sz w:val="16"/>
        <w:szCs w:val="16"/>
      </w:rPr>
      <w:t xml:space="preserve">§ 54. </w:t>
    </w:r>
    <w:r w:rsidRPr="004E3675">
      <w:rPr>
        <w:sz w:val="16"/>
        <w:szCs w:val="16"/>
      </w:rPr>
      <w:t>Bestemmelserne i §§ 50-53 omfatter ikke tilfælde, hvor den pågældende</w:t>
    </w:r>
  </w:p>
  <w:p w:rsidR="004E3675" w:rsidRPr="004E3675" w:rsidRDefault="004E3675" w:rsidP="004E3675">
    <w:pPr>
      <w:pStyle w:val="Sidefod"/>
      <w:rPr>
        <w:sz w:val="16"/>
        <w:szCs w:val="16"/>
      </w:rPr>
    </w:pPr>
    <w:r w:rsidRPr="004E3675">
      <w:rPr>
        <w:sz w:val="16"/>
        <w:szCs w:val="16"/>
      </w:rPr>
      <w:t>1) er forpligtet til at videregive oplysningen eller</w:t>
    </w:r>
  </w:p>
  <w:p w:rsidR="004E3675" w:rsidRPr="004E3675" w:rsidRDefault="004E3675" w:rsidP="004E3675">
    <w:pPr>
      <w:pStyle w:val="Sidefod"/>
      <w:rPr>
        <w:sz w:val="16"/>
        <w:szCs w:val="16"/>
      </w:rPr>
    </w:pPr>
    <w:r w:rsidRPr="004E3675">
      <w:rPr>
        <w:sz w:val="16"/>
        <w:szCs w:val="16"/>
      </w:rPr>
      <w:t>2) handler i berettiget varetagelse af åbenbar almeninteresse</w:t>
    </w:r>
  </w:p>
  <w:p w:rsidR="004E3675" w:rsidRPr="004E3675" w:rsidRDefault="004E3675" w:rsidP="004E3675">
    <w:pPr>
      <w:pStyle w:val="Sidefod"/>
      <w:rPr>
        <w:sz w:val="16"/>
        <w:szCs w:val="16"/>
      </w:rPr>
    </w:pPr>
    <w:proofErr w:type="gramStart"/>
    <w:r w:rsidRPr="004E3675">
      <w:rPr>
        <w:sz w:val="16"/>
        <w:szCs w:val="16"/>
      </w:rPr>
      <w:t>eller af eget eller andres tarv.</w:t>
    </w:r>
    <w:proofErr w:type="gramEnd"/>
  </w:p>
  <w:p w:rsidR="004E3675" w:rsidRPr="004E3675" w:rsidRDefault="004E3675">
    <w:pPr>
      <w:pStyle w:val="Sidefo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75" w:rsidRDefault="004E3675" w:rsidP="004E3675">
      <w:pPr>
        <w:spacing w:after="0" w:line="240" w:lineRule="auto"/>
      </w:pPr>
      <w:r>
        <w:separator/>
      </w:r>
    </w:p>
  </w:footnote>
  <w:footnote w:type="continuationSeparator" w:id="0">
    <w:p w:rsidR="004E3675" w:rsidRDefault="004E3675" w:rsidP="004E3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143BE"/>
    <w:multiLevelType w:val="hybridMultilevel"/>
    <w:tmpl w:val="1C925CFC"/>
    <w:lvl w:ilvl="0" w:tplc="AB6E2392">
      <w:start w:val="1"/>
      <w:numFmt w:val="bullet"/>
      <w:lvlText w:val="•"/>
      <w:lvlJc w:val="left"/>
      <w:pPr>
        <w:tabs>
          <w:tab w:val="num" w:pos="720"/>
        </w:tabs>
        <w:ind w:left="720" w:hanging="360"/>
      </w:pPr>
      <w:rPr>
        <w:rFonts w:ascii="Arial" w:hAnsi="Arial" w:hint="default"/>
      </w:rPr>
    </w:lvl>
    <w:lvl w:ilvl="1" w:tplc="147635F6" w:tentative="1">
      <w:start w:val="1"/>
      <w:numFmt w:val="bullet"/>
      <w:lvlText w:val="•"/>
      <w:lvlJc w:val="left"/>
      <w:pPr>
        <w:tabs>
          <w:tab w:val="num" w:pos="1440"/>
        </w:tabs>
        <w:ind w:left="1440" w:hanging="360"/>
      </w:pPr>
      <w:rPr>
        <w:rFonts w:ascii="Arial" w:hAnsi="Arial" w:hint="default"/>
      </w:rPr>
    </w:lvl>
    <w:lvl w:ilvl="2" w:tplc="ABAA3DCC" w:tentative="1">
      <w:start w:val="1"/>
      <w:numFmt w:val="bullet"/>
      <w:lvlText w:val="•"/>
      <w:lvlJc w:val="left"/>
      <w:pPr>
        <w:tabs>
          <w:tab w:val="num" w:pos="2160"/>
        </w:tabs>
        <w:ind w:left="2160" w:hanging="360"/>
      </w:pPr>
      <w:rPr>
        <w:rFonts w:ascii="Arial" w:hAnsi="Arial" w:hint="default"/>
      </w:rPr>
    </w:lvl>
    <w:lvl w:ilvl="3" w:tplc="1A242E72" w:tentative="1">
      <w:start w:val="1"/>
      <w:numFmt w:val="bullet"/>
      <w:lvlText w:val="•"/>
      <w:lvlJc w:val="left"/>
      <w:pPr>
        <w:tabs>
          <w:tab w:val="num" w:pos="2880"/>
        </w:tabs>
        <w:ind w:left="2880" w:hanging="360"/>
      </w:pPr>
      <w:rPr>
        <w:rFonts w:ascii="Arial" w:hAnsi="Arial" w:hint="default"/>
      </w:rPr>
    </w:lvl>
    <w:lvl w:ilvl="4" w:tplc="1E4A4A30" w:tentative="1">
      <w:start w:val="1"/>
      <w:numFmt w:val="bullet"/>
      <w:lvlText w:val="•"/>
      <w:lvlJc w:val="left"/>
      <w:pPr>
        <w:tabs>
          <w:tab w:val="num" w:pos="3600"/>
        </w:tabs>
        <w:ind w:left="3600" w:hanging="360"/>
      </w:pPr>
      <w:rPr>
        <w:rFonts w:ascii="Arial" w:hAnsi="Arial" w:hint="default"/>
      </w:rPr>
    </w:lvl>
    <w:lvl w:ilvl="5" w:tplc="9642E914" w:tentative="1">
      <w:start w:val="1"/>
      <w:numFmt w:val="bullet"/>
      <w:lvlText w:val="•"/>
      <w:lvlJc w:val="left"/>
      <w:pPr>
        <w:tabs>
          <w:tab w:val="num" w:pos="4320"/>
        </w:tabs>
        <w:ind w:left="4320" w:hanging="360"/>
      </w:pPr>
      <w:rPr>
        <w:rFonts w:ascii="Arial" w:hAnsi="Arial" w:hint="default"/>
      </w:rPr>
    </w:lvl>
    <w:lvl w:ilvl="6" w:tplc="285CC9CA" w:tentative="1">
      <w:start w:val="1"/>
      <w:numFmt w:val="bullet"/>
      <w:lvlText w:val="•"/>
      <w:lvlJc w:val="left"/>
      <w:pPr>
        <w:tabs>
          <w:tab w:val="num" w:pos="5040"/>
        </w:tabs>
        <w:ind w:left="5040" w:hanging="360"/>
      </w:pPr>
      <w:rPr>
        <w:rFonts w:ascii="Arial" w:hAnsi="Arial" w:hint="default"/>
      </w:rPr>
    </w:lvl>
    <w:lvl w:ilvl="7" w:tplc="0798A966" w:tentative="1">
      <w:start w:val="1"/>
      <w:numFmt w:val="bullet"/>
      <w:lvlText w:val="•"/>
      <w:lvlJc w:val="left"/>
      <w:pPr>
        <w:tabs>
          <w:tab w:val="num" w:pos="5760"/>
        </w:tabs>
        <w:ind w:left="5760" w:hanging="360"/>
      </w:pPr>
      <w:rPr>
        <w:rFonts w:ascii="Arial" w:hAnsi="Arial" w:hint="default"/>
      </w:rPr>
    </w:lvl>
    <w:lvl w:ilvl="8" w:tplc="27B82BDA" w:tentative="1">
      <w:start w:val="1"/>
      <w:numFmt w:val="bullet"/>
      <w:lvlText w:val="•"/>
      <w:lvlJc w:val="left"/>
      <w:pPr>
        <w:tabs>
          <w:tab w:val="num" w:pos="6480"/>
        </w:tabs>
        <w:ind w:left="6480" w:hanging="360"/>
      </w:pPr>
      <w:rPr>
        <w:rFonts w:ascii="Arial" w:hAnsi="Arial" w:hint="default"/>
      </w:rPr>
    </w:lvl>
  </w:abstractNum>
  <w:abstractNum w:abstractNumId="1">
    <w:nsid w:val="31BF2E0D"/>
    <w:multiLevelType w:val="hybridMultilevel"/>
    <w:tmpl w:val="EC88B396"/>
    <w:lvl w:ilvl="0" w:tplc="F00ED98A">
      <w:start w:val="1"/>
      <w:numFmt w:val="bullet"/>
      <w:lvlText w:val="•"/>
      <w:lvlJc w:val="left"/>
      <w:pPr>
        <w:tabs>
          <w:tab w:val="num" w:pos="720"/>
        </w:tabs>
        <w:ind w:left="720" w:hanging="360"/>
      </w:pPr>
      <w:rPr>
        <w:rFonts w:ascii="Arial" w:hAnsi="Arial" w:hint="default"/>
      </w:rPr>
    </w:lvl>
    <w:lvl w:ilvl="1" w:tplc="4440CC2C" w:tentative="1">
      <w:start w:val="1"/>
      <w:numFmt w:val="bullet"/>
      <w:lvlText w:val="•"/>
      <w:lvlJc w:val="left"/>
      <w:pPr>
        <w:tabs>
          <w:tab w:val="num" w:pos="1440"/>
        </w:tabs>
        <w:ind w:left="1440" w:hanging="360"/>
      </w:pPr>
      <w:rPr>
        <w:rFonts w:ascii="Arial" w:hAnsi="Arial" w:hint="default"/>
      </w:rPr>
    </w:lvl>
    <w:lvl w:ilvl="2" w:tplc="3C1EC6D4" w:tentative="1">
      <w:start w:val="1"/>
      <w:numFmt w:val="bullet"/>
      <w:lvlText w:val="•"/>
      <w:lvlJc w:val="left"/>
      <w:pPr>
        <w:tabs>
          <w:tab w:val="num" w:pos="2160"/>
        </w:tabs>
        <w:ind w:left="2160" w:hanging="360"/>
      </w:pPr>
      <w:rPr>
        <w:rFonts w:ascii="Arial" w:hAnsi="Arial" w:hint="default"/>
      </w:rPr>
    </w:lvl>
    <w:lvl w:ilvl="3" w:tplc="6CC640F0" w:tentative="1">
      <w:start w:val="1"/>
      <w:numFmt w:val="bullet"/>
      <w:lvlText w:val="•"/>
      <w:lvlJc w:val="left"/>
      <w:pPr>
        <w:tabs>
          <w:tab w:val="num" w:pos="2880"/>
        </w:tabs>
        <w:ind w:left="2880" w:hanging="360"/>
      </w:pPr>
      <w:rPr>
        <w:rFonts w:ascii="Arial" w:hAnsi="Arial" w:hint="default"/>
      </w:rPr>
    </w:lvl>
    <w:lvl w:ilvl="4" w:tplc="A5401344" w:tentative="1">
      <w:start w:val="1"/>
      <w:numFmt w:val="bullet"/>
      <w:lvlText w:val="•"/>
      <w:lvlJc w:val="left"/>
      <w:pPr>
        <w:tabs>
          <w:tab w:val="num" w:pos="3600"/>
        </w:tabs>
        <w:ind w:left="3600" w:hanging="360"/>
      </w:pPr>
      <w:rPr>
        <w:rFonts w:ascii="Arial" w:hAnsi="Arial" w:hint="default"/>
      </w:rPr>
    </w:lvl>
    <w:lvl w:ilvl="5" w:tplc="75F003FA" w:tentative="1">
      <w:start w:val="1"/>
      <w:numFmt w:val="bullet"/>
      <w:lvlText w:val="•"/>
      <w:lvlJc w:val="left"/>
      <w:pPr>
        <w:tabs>
          <w:tab w:val="num" w:pos="4320"/>
        </w:tabs>
        <w:ind w:left="4320" w:hanging="360"/>
      </w:pPr>
      <w:rPr>
        <w:rFonts w:ascii="Arial" w:hAnsi="Arial" w:hint="default"/>
      </w:rPr>
    </w:lvl>
    <w:lvl w:ilvl="6" w:tplc="CD4C93FE" w:tentative="1">
      <w:start w:val="1"/>
      <w:numFmt w:val="bullet"/>
      <w:lvlText w:val="•"/>
      <w:lvlJc w:val="left"/>
      <w:pPr>
        <w:tabs>
          <w:tab w:val="num" w:pos="5040"/>
        </w:tabs>
        <w:ind w:left="5040" w:hanging="360"/>
      </w:pPr>
      <w:rPr>
        <w:rFonts w:ascii="Arial" w:hAnsi="Arial" w:hint="default"/>
      </w:rPr>
    </w:lvl>
    <w:lvl w:ilvl="7" w:tplc="04769072" w:tentative="1">
      <w:start w:val="1"/>
      <w:numFmt w:val="bullet"/>
      <w:lvlText w:val="•"/>
      <w:lvlJc w:val="left"/>
      <w:pPr>
        <w:tabs>
          <w:tab w:val="num" w:pos="5760"/>
        </w:tabs>
        <w:ind w:left="5760" w:hanging="360"/>
      </w:pPr>
      <w:rPr>
        <w:rFonts w:ascii="Arial" w:hAnsi="Arial" w:hint="default"/>
      </w:rPr>
    </w:lvl>
    <w:lvl w:ilvl="8" w:tplc="D0D4110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BF"/>
    <w:rsid w:val="003175BF"/>
    <w:rsid w:val="004E3675"/>
    <w:rsid w:val="006241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17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75B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175BF"/>
    <w:pPr>
      <w:autoSpaceDE w:val="0"/>
      <w:autoSpaceDN w:val="0"/>
      <w:adjustRightInd w:val="0"/>
      <w:spacing w:after="0" w:line="240" w:lineRule="auto"/>
    </w:pPr>
    <w:rPr>
      <w:rFonts w:ascii="Cambria" w:hAnsi="Cambria" w:cs="Cambria"/>
      <w:color w:val="000000"/>
      <w:sz w:val="24"/>
      <w:szCs w:val="24"/>
    </w:rPr>
  </w:style>
  <w:style w:type="paragraph" w:styleId="Listeafsnit">
    <w:name w:val="List Paragraph"/>
    <w:basedOn w:val="Normal"/>
    <w:uiPriority w:val="34"/>
    <w:qFormat/>
    <w:rsid w:val="003175BF"/>
    <w:pPr>
      <w:spacing w:after="0" w:line="240" w:lineRule="auto"/>
      <w:ind w:left="720"/>
      <w:contextualSpacing/>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175B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36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3675"/>
  </w:style>
  <w:style w:type="paragraph" w:styleId="Sidefod">
    <w:name w:val="footer"/>
    <w:basedOn w:val="Normal"/>
    <w:link w:val="SidefodTegn"/>
    <w:uiPriority w:val="99"/>
    <w:unhideWhenUsed/>
    <w:rsid w:val="004E36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3675"/>
  </w:style>
  <w:style w:type="paragraph" w:styleId="Markeringsbobletekst">
    <w:name w:val="Balloon Text"/>
    <w:basedOn w:val="Normal"/>
    <w:link w:val="MarkeringsbobletekstTegn"/>
    <w:uiPriority w:val="99"/>
    <w:semiHidden/>
    <w:unhideWhenUsed/>
    <w:rsid w:val="004E36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3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17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75B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175BF"/>
    <w:pPr>
      <w:autoSpaceDE w:val="0"/>
      <w:autoSpaceDN w:val="0"/>
      <w:adjustRightInd w:val="0"/>
      <w:spacing w:after="0" w:line="240" w:lineRule="auto"/>
    </w:pPr>
    <w:rPr>
      <w:rFonts w:ascii="Cambria" w:hAnsi="Cambria" w:cs="Cambria"/>
      <w:color w:val="000000"/>
      <w:sz w:val="24"/>
      <w:szCs w:val="24"/>
    </w:rPr>
  </w:style>
  <w:style w:type="paragraph" w:styleId="Listeafsnit">
    <w:name w:val="List Paragraph"/>
    <w:basedOn w:val="Normal"/>
    <w:uiPriority w:val="34"/>
    <w:qFormat/>
    <w:rsid w:val="003175BF"/>
    <w:pPr>
      <w:spacing w:after="0" w:line="240" w:lineRule="auto"/>
      <w:ind w:left="720"/>
      <w:contextualSpacing/>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175B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36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3675"/>
  </w:style>
  <w:style w:type="paragraph" w:styleId="Sidefod">
    <w:name w:val="footer"/>
    <w:basedOn w:val="Normal"/>
    <w:link w:val="SidefodTegn"/>
    <w:uiPriority w:val="99"/>
    <w:unhideWhenUsed/>
    <w:rsid w:val="004E36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3675"/>
  </w:style>
  <w:style w:type="paragraph" w:styleId="Markeringsbobletekst">
    <w:name w:val="Balloon Text"/>
    <w:basedOn w:val="Normal"/>
    <w:link w:val="MarkeringsbobletekstTegn"/>
    <w:uiPriority w:val="99"/>
    <w:semiHidden/>
    <w:unhideWhenUsed/>
    <w:rsid w:val="004E36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3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3171">
      <w:bodyDiv w:val="1"/>
      <w:marLeft w:val="0"/>
      <w:marRight w:val="0"/>
      <w:marTop w:val="0"/>
      <w:marBottom w:val="0"/>
      <w:divBdr>
        <w:top w:val="none" w:sz="0" w:space="0" w:color="auto"/>
        <w:left w:val="none" w:sz="0" w:space="0" w:color="auto"/>
        <w:bottom w:val="none" w:sz="0" w:space="0" w:color="auto"/>
        <w:right w:val="none" w:sz="0" w:space="0" w:color="auto"/>
      </w:divBdr>
      <w:divsChild>
        <w:div w:id="1725177372">
          <w:marLeft w:val="547"/>
          <w:marRight w:val="0"/>
          <w:marTop w:val="96"/>
          <w:marBottom w:val="120"/>
          <w:divBdr>
            <w:top w:val="none" w:sz="0" w:space="0" w:color="auto"/>
            <w:left w:val="none" w:sz="0" w:space="0" w:color="auto"/>
            <w:bottom w:val="none" w:sz="0" w:space="0" w:color="auto"/>
            <w:right w:val="none" w:sz="0" w:space="0" w:color="auto"/>
          </w:divBdr>
        </w:div>
        <w:div w:id="1755317909">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Olesen</dc:creator>
  <cp:lastModifiedBy>Pauline Olesen</cp:lastModifiedBy>
  <cp:revision>1</cp:revision>
  <dcterms:created xsi:type="dcterms:W3CDTF">2017-08-24T16:10:00Z</dcterms:created>
  <dcterms:modified xsi:type="dcterms:W3CDTF">2017-08-24T16:29:00Z</dcterms:modified>
</cp:coreProperties>
</file>